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4C1">
      <w:pPr>
        <w:ind w:firstLine="426"/>
        <w:jc w:val="center"/>
      </w:pPr>
      <w:bookmarkStart w:id="0" w:name="_GoBack"/>
      <w:bookmarkEnd w:id="0"/>
      <w:r>
        <w:rPr>
          <w:rStyle w:val="s0"/>
          <w:b/>
          <w:bCs/>
        </w:rPr>
        <w:t>Выписка из протокола заседания Правления АО «Фонд развития предпринимательства «Даму» от 12 марта 2021 года № 19/2021</w:t>
      </w:r>
      <w:r>
        <w:rPr>
          <w:rStyle w:val="s0"/>
        </w:rPr>
        <w:t xml:space="preserve"> 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Вопрос 11. Об утверждении Гендерной политики АО «Фонд развития предпринимательства «Даму» (докладчик - Директор департамента Ятаев А.Н.)</w:t>
      </w:r>
    </w:p>
    <w:p w:rsidR="00000000" w:rsidRDefault="003324C1">
      <w:pPr>
        <w:ind w:firstLine="397"/>
        <w:jc w:val="both"/>
      </w:pPr>
      <w: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В соответствии с </w:t>
      </w:r>
      <w:hyperlink r:id="rId6" w:anchor="sub_id=590000" w:history="1">
        <w:r>
          <w:rPr>
            <w:rStyle w:val="a6"/>
          </w:rPr>
          <w:t xml:space="preserve">пунктом 1 статьи </w:t>
        </w:r>
        <w:r>
          <w:rPr>
            <w:rStyle w:val="a6"/>
          </w:rPr>
          <w:t>59</w:t>
        </w:r>
      </w:hyperlink>
      <w:r>
        <w:rPr>
          <w:rStyle w:val="s0"/>
        </w:rPr>
        <w:t xml:space="preserve"> Закона Республики Казахстан от 13 мая 2003 года № 415-II «Об акционерных обществах», </w:t>
      </w:r>
      <w:hyperlink r:id="rId7" w:anchor="sub_id=8200" w:history="1">
        <w:r>
          <w:rPr>
            <w:rStyle w:val="a6"/>
          </w:rPr>
          <w:t>подпунктом 2) пункта 82</w:t>
        </w:r>
      </w:hyperlink>
      <w:r>
        <w:rPr>
          <w:rStyle w:val="s0"/>
        </w:rPr>
        <w:t xml:space="preserve"> Устава АО «Фонд развития предпринимательства «Даму», Правление</w:t>
      </w:r>
      <w:r>
        <w:rPr>
          <w:rStyle w:val="s0"/>
        </w:rPr>
        <w:t xml:space="preserve"> АО «Фонд развития предпринимательства «Даму» </w:t>
      </w:r>
      <w:r>
        <w:rPr>
          <w:rStyle w:val="s0"/>
          <w:b/>
          <w:bCs/>
        </w:rPr>
        <w:t>РЕШИЛО: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6"/>
          </w:rPr>
          <w:t>Гендерную политику</w:t>
        </w:r>
      </w:hyperlink>
      <w:r>
        <w:rPr>
          <w:rStyle w:val="s0"/>
        </w:rPr>
        <w:t xml:space="preserve"> АО «Фонд развития предпринимательства «Даму» согласно Приложению № 5 к настоящему протоколу.</w:t>
      </w:r>
    </w:p>
    <w:p w:rsidR="00000000" w:rsidRDefault="003324C1">
      <w:pPr>
        <w:ind w:firstLine="397"/>
        <w:jc w:val="both"/>
      </w:pPr>
      <w:r>
        <w:rPr>
          <w:rStyle w:val="s0"/>
        </w:rPr>
        <w:t>2. Бизнес-владельцем Гендерной политики «АО «Фон</w:t>
      </w:r>
      <w:r>
        <w:rPr>
          <w:rStyle w:val="s0"/>
        </w:rPr>
        <w:t>д развития предпринимательства «Даму» назначить Департамент заимствования и международных отношений.</w:t>
      </w:r>
    </w:p>
    <w:p w:rsidR="00000000" w:rsidRDefault="003324C1">
      <w:pPr>
        <w:ind w:firstLine="397"/>
        <w:jc w:val="both"/>
      </w:pPr>
      <w: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По итогам голосования принято положительное решение.</w:t>
      </w:r>
    </w:p>
    <w:p w:rsidR="00000000" w:rsidRDefault="003324C1">
      <w:pPr>
        <w:ind w:firstLine="397"/>
        <w:jc w:val="both"/>
      </w:pPr>
      <w:r>
        <w:t> </w:t>
      </w:r>
    </w:p>
    <w:p w:rsidR="00000000" w:rsidRDefault="003324C1">
      <w:pPr>
        <w:ind w:firstLine="397"/>
        <w:jc w:val="right"/>
      </w:pPr>
      <w:bookmarkStart w:id="1" w:name="SUB100"/>
      <w:bookmarkEnd w:id="1"/>
      <w:r>
        <w:rPr>
          <w:rStyle w:val="s0"/>
          <w:b/>
          <w:bCs/>
        </w:rPr>
        <w:t>Утверждена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Решением Правления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АО «Фонд развития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предпринимательства «Даму»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 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Приложение № ___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 xml:space="preserve">к </w:t>
      </w:r>
      <w:hyperlink w:anchor="sub0" w:history="1">
        <w:r>
          <w:rPr>
            <w:rStyle w:val="a6"/>
          </w:rPr>
          <w:t>протоколу</w:t>
        </w:r>
      </w:hyperlink>
      <w:r>
        <w:rPr>
          <w:rStyle w:val="s0"/>
          <w:b/>
          <w:bCs/>
        </w:rPr>
        <w:t xml:space="preserve"> заседания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Правления АО «Фонд развития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предпринимательства «Даму»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от «___» __________ 2021 года</w:t>
      </w:r>
    </w:p>
    <w:p w:rsidR="00000000" w:rsidRDefault="003324C1">
      <w:pPr>
        <w:ind w:firstLine="397"/>
        <w:jc w:val="right"/>
      </w:pPr>
      <w:r>
        <w:rPr>
          <w:rStyle w:val="s0"/>
          <w:b/>
          <w:bCs/>
        </w:rPr>
        <w:t>протокол № _____</w:t>
      </w:r>
    </w:p>
    <w:p w:rsidR="00000000" w:rsidRDefault="003324C1">
      <w:pPr>
        <w:ind w:firstLine="397"/>
        <w:jc w:val="right"/>
      </w:pPr>
      <w:r>
        <w:t> </w:t>
      </w:r>
    </w:p>
    <w:p w:rsidR="00000000" w:rsidRDefault="003324C1">
      <w:pPr>
        <w:spacing w:after="240"/>
        <w:jc w:val="center"/>
      </w:pPr>
      <w:r>
        <w:rPr>
          <w:rStyle w:val="s1"/>
        </w:rPr>
        <w:t>Гендерная политика</w:t>
      </w:r>
      <w:r>
        <w:rPr>
          <w:rStyle w:val="s1"/>
        </w:rPr>
        <w:br/>
        <w:t>АО «Фонд развития предпринимательства «Даму»</w:t>
      </w:r>
    </w:p>
    <w:p w:rsidR="00000000" w:rsidRDefault="003324C1">
      <w:pPr>
        <w:spacing w:after="240"/>
        <w:jc w:val="center"/>
      </w:pPr>
      <w:r>
        <w:rPr>
          <w:rStyle w:val="s1"/>
        </w:rPr>
        <w:t> </w:t>
      </w:r>
    </w:p>
    <w:p w:rsidR="00000000" w:rsidRDefault="003324C1">
      <w:pPr>
        <w:spacing w:after="240"/>
        <w:jc w:val="center"/>
      </w:pPr>
      <w:r>
        <w:rPr>
          <w:rStyle w:val="s1"/>
        </w:rPr>
        <w:t>г. Алматы</w:t>
      </w:r>
    </w:p>
    <w:p w:rsidR="00000000" w:rsidRDefault="003324C1">
      <w:pPr>
        <w:jc w:val="center"/>
      </w:pPr>
      <w:r>
        <w:rPr>
          <w:rStyle w:val="s1"/>
        </w:rPr>
        <w:t> </w:t>
      </w:r>
    </w:p>
    <w:p w:rsidR="00000000" w:rsidRDefault="003324C1">
      <w:pPr>
        <w:jc w:val="center"/>
      </w:pPr>
      <w:r>
        <w:rPr>
          <w:rStyle w:val="s1"/>
        </w:rPr>
        <w:t>2021 год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jc w:val="center"/>
      </w:pPr>
      <w:bookmarkStart w:id="2" w:name="ContentStart"/>
      <w:bookmarkEnd w:id="2"/>
      <w:r>
        <w:rPr>
          <w:rStyle w:val="s1"/>
        </w:rPr>
        <w:t>Содержание</w:t>
      </w:r>
    </w:p>
    <w:p w:rsidR="00000000" w:rsidRDefault="003324C1">
      <w:pPr>
        <w:jc w:val="center"/>
      </w:pPr>
      <w:r>
        <w:rPr>
          <w:rStyle w:val="s1"/>
        </w:rPr>
        <w:t> </w:t>
      </w:r>
    </w:p>
    <w:p w:rsidR="00000000" w:rsidRDefault="003324C1">
      <w:pPr>
        <w:ind w:firstLine="397"/>
        <w:jc w:val="both"/>
      </w:pPr>
      <w:hyperlink w:anchor="sub10100" w:history="1">
        <w:r>
          <w:rPr>
            <w:rStyle w:val="a6"/>
          </w:rPr>
          <w:t>Раздел 1. Основные термины и определения</w:t>
        </w:r>
      </w:hyperlink>
    </w:p>
    <w:p w:rsidR="00000000" w:rsidRDefault="003324C1">
      <w:pPr>
        <w:ind w:firstLine="397"/>
        <w:jc w:val="both"/>
      </w:pPr>
      <w:hyperlink w:anchor="sub200" w:history="1">
        <w:r>
          <w:rPr>
            <w:rStyle w:val="a6"/>
          </w:rPr>
          <w:t>Раздел 2. Обзор</w:t>
        </w:r>
      </w:hyperlink>
    </w:p>
    <w:p w:rsidR="00000000" w:rsidRDefault="003324C1">
      <w:pPr>
        <w:ind w:firstLine="397"/>
        <w:jc w:val="both"/>
      </w:pPr>
      <w:hyperlink w:anchor="sub300" w:history="1">
        <w:r>
          <w:rPr>
            <w:rStyle w:val="a6"/>
          </w:rPr>
          <w:t>Раздел 3. Принципы гендерной политики</w:t>
        </w:r>
      </w:hyperlink>
    </w:p>
    <w:p w:rsidR="00000000" w:rsidRDefault="003324C1">
      <w:pPr>
        <w:ind w:firstLine="397"/>
        <w:jc w:val="both"/>
      </w:pPr>
      <w:hyperlink w:anchor="sub400" w:history="1">
        <w:r>
          <w:rPr>
            <w:rStyle w:val="a6"/>
          </w:rPr>
          <w:t>Раздел 4. Область применения</w:t>
        </w:r>
      </w:hyperlink>
    </w:p>
    <w:p w:rsidR="00000000" w:rsidRDefault="003324C1">
      <w:pPr>
        <w:ind w:firstLine="397"/>
        <w:jc w:val="both"/>
      </w:pPr>
      <w:hyperlink w:anchor="sub500" w:history="1">
        <w:r>
          <w:rPr>
            <w:rStyle w:val="a6"/>
          </w:rPr>
          <w:t>Раздел 5. Отчетность</w:t>
        </w:r>
      </w:hyperlink>
    </w:p>
    <w:p w:rsidR="00000000" w:rsidRDefault="003324C1">
      <w:pPr>
        <w:ind w:firstLine="397"/>
        <w:jc w:val="both"/>
      </w:pPr>
      <w:hyperlink w:anchor="sub600" w:history="1">
        <w:r>
          <w:rPr>
            <w:rStyle w:val="a6"/>
          </w:rPr>
          <w:t>Раздел 6. Привлечение консультантов</w:t>
        </w:r>
      </w:hyperlink>
    </w:p>
    <w:p w:rsidR="00000000" w:rsidRDefault="003324C1">
      <w:pPr>
        <w:ind w:firstLine="397"/>
        <w:jc w:val="both"/>
      </w:pPr>
      <w:hyperlink w:anchor="sub1" w:history="1">
        <w:r>
          <w:rPr>
            <w:rStyle w:val="a6"/>
          </w:rPr>
          <w:t>Приложение 1 Шаблон плана действий по обеспечению гендерного равенства</w:t>
        </w:r>
      </w:hyperlink>
    </w:p>
    <w:p w:rsidR="00000000" w:rsidRDefault="003324C1">
      <w:pPr>
        <w:ind w:firstLine="397"/>
        <w:jc w:val="both"/>
      </w:pPr>
      <w:bookmarkStart w:id="3" w:name="ContentEnd"/>
      <w:bookmarkEnd w:id="3"/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lastRenderedPageBreak/>
        <w:t> </w:t>
      </w:r>
    </w:p>
    <w:p w:rsidR="00000000" w:rsidRDefault="003324C1">
      <w:pPr>
        <w:ind w:firstLine="397"/>
        <w:jc w:val="both"/>
      </w:pPr>
      <w:bookmarkStart w:id="4" w:name="SUB10100"/>
      <w:bookmarkEnd w:id="4"/>
      <w:r>
        <w:rPr>
          <w:rStyle w:val="s1"/>
        </w:rPr>
        <w:t>Раздел 1. Основные термины и определени</w:t>
      </w:r>
      <w:r>
        <w:rPr>
          <w:rStyle w:val="s1"/>
        </w:rPr>
        <w:t>я</w:t>
      </w:r>
    </w:p>
    <w:p w:rsidR="00000000" w:rsidRDefault="003324C1">
      <w:pPr>
        <w:ind w:firstLine="397"/>
        <w:jc w:val="both"/>
      </w:pPr>
      <w:r>
        <w:rPr>
          <w:rStyle w:val="s0"/>
        </w:rPr>
        <w:t>В Политике используются следующие основные термины и определения:</w:t>
      </w:r>
    </w:p>
    <w:p w:rsidR="00000000" w:rsidRDefault="003324C1">
      <w:pPr>
        <w:ind w:firstLine="397"/>
        <w:jc w:val="both"/>
      </w:pPr>
      <w:r>
        <w:rPr>
          <w:rStyle w:val="s0"/>
        </w:rPr>
        <w:t>1) Организация объединенных наций (ООН) - крупнейшая международная организация, целью которой является поддержание международного мира и безопасности. Страновая команда ООН в Казахстане ра</w:t>
      </w:r>
      <w:r>
        <w:rPr>
          <w:rStyle w:val="s0"/>
        </w:rPr>
        <w:t xml:space="preserve">ботает над широким спектром вопросов, включая экономическое и социальное развитие и здравоохранение, гендерное равенство и расширение прав и возможностей женщин. В Казахстане ООН представлена 20 агентствами, в том числе Программой развития ООН, структурой </w:t>
      </w:r>
      <w:r>
        <w:rPr>
          <w:rStyle w:val="s0"/>
        </w:rPr>
        <w:t>ООН Женщины, специализированным учреждением ООН по вопросам образования, науки и культуры (ЮНЕСКО).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2) Цели устойчивого развития ООН (ЦУР) - Повестка дня в области устойчивого развития на период до 2030 года, принятая Генеральной Ассамблеей ООН в сентябре </w:t>
      </w:r>
      <w:r>
        <w:rPr>
          <w:rStyle w:val="s0"/>
        </w:rPr>
        <w:t>2015 года, содержит амбициозный набор целей по наращиванию экономического роста и решению ряда вопросов в области образования, здравоохранения, социальной защиты и трудоустройства, а также борьбе с изменением климата.</w:t>
      </w:r>
    </w:p>
    <w:p w:rsidR="00000000" w:rsidRDefault="003324C1">
      <w:pPr>
        <w:ind w:firstLine="397"/>
        <w:jc w:val="both"/>
      </w:pPr>
      <w:r>
        <w:rPr>
          <w:rStyle w:val="s0"/>
        </w:rPr>
        <w:t>3) Гендер - социальный аспект отношени</w:t>
      </w:r>
      <w:r>
        <w:rPr>
          <w:rStyle w:val="s0"/>
        </w:rPr>
        <w:t>й между мужчинами и женщинами, который проявляется во всех сферах жизни.</w:t>
      </w:r>
    </w:p>
    <w:p w:rsidR="00000000" w:rsidRDefault="003324C1">
      <w:pPr>
        <w:ind w:firstLine="397"/>
        <w:jc w:val="both"/>
      </w:pPr>
      <w:r>
        <w:rPr>
          <w:rStyle w:val="s0"/>
        </w:rPr>
        <w:t>4) Гендерное равенство - правовой статус, обеспечивающий мужчинам и женщинам равные права и равные возможности и реальный доступ к участию в политической, экономической, социальной, о</w:t>
      </w:r>
      <w:r>
        <w:rPr>
          <w:rStyle w:val="s0"/>
        </w:rPr>
        <w:t>бщественной и культурной сферах жизни вне зависимости от половой принадлежности.</w:t>
      </w:r>
    </w:p>
    <w:p w:rsidR="00000000" w:rsidRDefault="003324C1">
      <w:pPr>
        <w:ind w:firstLine="397"/>
        <w:jc w:val="both"/>
      </w:pPr>
      <w:r>
        <w:rPr>
          <w:rStyle w:val="s0"/>
        </w:rPr>
        <w:t>5) Проект - потенциальная или заключенная сделка, подразумевающая предоставление Фондом финансовой и нефинансовой поддержки.</w:t>
      </w:r>
    </w:p>
    <w:p w:rsidR="00000000" w:rsidRDefault="003324C1">
      <w:pPr>
        <w:ind w:firstLine="397"/>
        <w:jc w:val="both"/>
      </w:pPr>
      <w:r>
        <w:rPr>
          <w:rStyle w:val="s0"/>
        </w:rPr>
        <w:t>6) Уполномоченный орган - орган, который в соответ</w:t>
      </w:r>
      <w:r>
        <w:rPr>
          <w:rStyle w:val="s0"/>
        </w:rPr>
        <w:t>ствии с законодательством Республики Казахстан, уполномочен принимать управленческие решения в зоне ответственности, определенной соответствующими внутренними документами Фонда.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7) Финансовые посредники - банки второго уровня, микрофинансовые организации, </w:t>
      </w:r>
      <w:r>
        <w:rPr>
          <w:rStyle w:val="s0"/>
        </w:rPr>
        <w:t>лизинговые компании, кредитные товарищества и иные юридические лица, инвестиционные фонды и фонды прямых инвестиций.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bookmarkStart w:id="5" w:name="SUB200"/>
      <w:bookmarkEnd w:id="5"/>
      <w:r>
        <w:rPr>
          <w:rStyle w:val="s1"/>
        </w:rPr>
        <w:t>Раздел 2. Обзор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18.12.1979 г. ООН принята </w:t>
      </w:r>
      <w:hyperlink r:id="rId8" w:history="1">
        <w:r>
          <w:rPr>
            <w:rStyle w:val="a6"/>
          </w:rPr>
          <w:t>Конвенция</w:t>
        </w:r>
      </w:hyperlink>
      <w:r>
        <w:rPr>
          <w:rStyle w:val="s0"/>
        </w:rPr>
        <w:t xml:space="preserve"> о ликвидации всех фор</w:t>
      </w:r>
      <w:r>
        <w:rPr>
          <w:rStyle w:val="s0"/>
        </w:rPr>
        <w:t xml:space="preserve">м дискриминации в отношении женщин (далее - Конвенция). Документ подтверждает принцип </w:t>
      </w:r>
      <w:hyperlink r:id="rId9" w:history="1">
        <w:r>
          <w:rPr>
            <w:rStyle w:val="a6"/>
          </w:rPr>
          <w:t>Всеобщей декларации</w:t>
        </w:r>
      </w:hyperlink>
      <w:r>
        <w:rPr>
          <w:rStyle w:val="s0"/>
        </w:rPr>
        <w:t xml:space="preserve"> прав человека в отношении равенства людей, в том числе вне зависимости от половой прин</w:t>
      </w:r>
      <w:r>
        <w:rPr>
          <w:rStyle w:val="s0"/>
        </w:rPr>
        <w:t>адлежности.</w:t>
      </w:r>
    </w:p>
    <w:p w:rsidR="00000000" w:rsidRDefault="003324C1">
      <w:pPr>
        <w:ind w:firstLine="397"/>
        <w:jc w:val="both"/>
      </w:pPr>
      <w:r>
        <w:rPr>
          <w:rStyle w:val="s0"/>
        </w:rPr>
        <w:t>29.06.1998 г. Республика Казахстан присоединилась к вышеуказанной Конвенции.</w:t>
      </w:r>
    </w:p>
    <w:p w:rsidR="00000000" w:rsidRDefault="003324C1">
      <w:pPr>
        <w:ind w:firstLine="397"/>
        <w:jc w:val="both"/>
      </w:pPr>
      <w:r>
        <w:rPr>
          <w:rStyle w:val="s0"/>
        </w:rPr>
        <w:t>Вопросы гендерного равенства и расширения прав и возможностей женщин включены в Повестку дня в области устойчивого развития на период до 2030 года, принятую Генеральной Ассамблеей ООН в сентябре 2015 года.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06.12.2016 г. </w:t>
      </w:r>
      <w:hyperlink r:id="rId10" w:history="1">
        <w:r>
          <w:rPr>
            <w:rStyle w:val="a6"/>
          </w:rPr>
          <w:t>Указом</w:t>
        </w:r>
      </w:hyperlink>
      <w:r>
        <w:rPr>
          <w:rStyle w:val="s0"/>
        </w:rPr>
        <w:t xml:space="preserve"> Президента Республики Казахстан утверждена Концепция семейной и гендерной политик до 2030 года.</w:t>
      </w:r>
    </w:p>
    <w:p w:rsidR="00000000" w:rsidRDefault="003324C1">
      <w:pPr>
        <w:ind w:firstLine="397"/>
        <w:jc w:val="both"/>
      </w:pPr>
      <w:r>
        <w:rPr>
          <w:rStyle w:val="s0"/>
        </w:rPr>
        <w:t>Настоящая Гендерная политика АО «Фонд развития предпринимательства «Даму» (далее - Политика) разработана в целях продвижения</w:t>
      </w:r>
      <w:r>
        <w:rPr>
          <w:rStyle w:val="s0"/>
        </w:rPr>
        <w:t xml:space="preserve"> гендерного равенства в АО «Фонд развития предпринимательства «Даму» (далее - Фонд), в соответствии с </w:t>
      </w:r>
      <w:hyperlink r:id="rId11" w:history="1">
        <w:r>
          <w:rPr>
            <w:rStyle w:val="a6"/>
          </w:rPr>
          <w:t>Конституцией</w:t>
        </w:r>
      </w:hyperlink>
      <w:r>
        <w:rPr>
          <w:rStyle w:val="s0"/>
        </w:rPr>
        <w:t xml:space="preserve"> Республики Казахстан, </w:t>
      </w:r>
      <w:hyperlink r:id="rId12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Республики Казахстан «О государственных гарантиях равных прав и равных возможностей мужчин и женщин», </w:t>
      </w:r>
      <w:hyperlink r:id="rId13" w:history="1">
        <w:r>
          <w:rPr>
            <w:rStyle w:val="a6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Республики Казахстан «О присоединении Республики Казахстан к Конвенции о ликвидации всех форм </w:t>
      </w:r>
      <w:r>
        <w:rPr>
          <w:rStyle w:val="s0"/>
        </w:rPr>
        <w:lastRenderedPageBreak/>
        <w:t xml:space="preserve">дискриминации в отношении женщин», </w:t>
      </w:r>
      <w:hyperlink r:id="rId14" w:history="1">
        <w:r>
          <w:rPr>
            <w:rStyle w:val="a6"/>
          </w:rPr>
          <w:t>Концепцией</w:t>
        </w:r>
      </w:hyperlink>
      <w:r>
        <w:rPr>
          <w:rStyle w:val="s0"/>
        </w:rPr>
        <w:t xml:space="preserve"> семейной и гендерной политик Республики Казахстан д</w:t>
      </w:r>
      <w:r>
        <w:rPr>
          <w:rStyle w:val="s0"/>
        </w:rPr>
        <w:t xml:space="preserve">о 2030 года и </w:t>
      </w:r>
      <w:hyperlink r:id="rId15" w:anchor="sub_id=8200" w:history="1">
        <w:r>
          <w:rPr>
            <w:rStyle w:val="a6"/>
          </w:rPr>
          <w:t>Уставом</w:t>
        </w:r>
      </w:hyperlink>
      <w:r>
        <w:rPr>
          <w:rStyle w:val="s0"/>
        </w:rPr>
        <w:t xml:space="preserve"> Фонда.</w:t>
      </w:r>
    </w:p>
    <w:p w:rsidR="00000000" w:rsidRDefault="003324C1">
      <w:pPr>
        <w:ind w:firstLine="397"/>
        <w:jc w:val="both"/>
      </w:pPr>
      <w:r>
        <w:rPr>
          <w:rStyle w:val="s0"/>
        </w:rPr>
        <w:t>Несмотря на то, что Казахстан принял меры по достижению гендерного равенства на законодательном уровне, согласно рейтингу стран мира по Индексу г</w:t>
      </w:r>
      <w:r>
        <w:rPr>
          <w:rStyle w:val="s0"/>
        </w:rPr>
        <w:t>ендерного разрыва 2020 года Всемирного экономического форума, исследования по интегральному показателю равноправия полов, из 153 стран, Казахстан занимает 72 место.</w:t>
      </w:r>
    </w:p>
    <w:p w:rsidR="00000000" w:rsidRDefault="003324C1">
      <w:pPr>
        <w:ind w:firstLine="397"/>
        <w:jc w:val="both"/>
      </w:pPr>
      <w:r>
        <w:rPr>
          <w:rStyle w:val="s0"/>
        </w:rPr>
        <w:t>Одним из основных факторов устойчивого человеческого развития является достижение гендерног</w:t>
      </w:r>
      <w:r>
        <w:rPr>
          <w:rStyle w:val="s0"/>
        </w:rPr>
        <w:t>о равенства. Женщины не пользуются таким же статусом, властью или доступом к ресурсам и контролем над ними, как мужчины. Принципы равенства и социальной справедливости требуют от современного общества работать над тем, чтобы каждый человек имел равные возм</w:t>
      </w:r>
      <w:r>
        <w:rPr>
          <w:rStyle w:val="s0"/>
        </w:rPr>
        <w:t>ожности для выражения и использования своего потенциала. Связь между улучшением гендерного равенства и ускорением экономического развития широко признана в мире ведущими международными финансовыми институтами. Признавая это, Фонд привержен направлению усил</w:t>
      </w:r>
      <w:r>
        <w:rPr>
          <w:rStyle w:val="s0"/>
        </w:rPr>
        <w:t>ий и ресурсов на создание общества, которое одинаково ценит женщин и мужчин.</w:t>
      </w:r>
    </w:p>
    <w:p w:rsidR="00000000" w:rsidRDefault="003324C1">
      <w:pPr>
        <w:ind w:firstLine="397"/>
        <w:jc w:val="both"/>
      </w:pPr>
      <w:r>
        <w:rPr>
          <w:rStyle w:val="s0"/>
        </w:rPr>
        <w:t>В соответствии с Докладом о гендерном разрыве 2020 Всемирного экономического форума (ВЭФ), международной неправительственной организации, с учетом текущих темпов прогресса, потреб</w:t>
      </w:r>
      <w:r>
        <w:rPr>
          <w:rStyle w:val="s0"/>
        </w:rPr>
        <w:t>уется еще сотня лет для достижения гендерного равенства. Этот прогноз служит побуждением к действию правительства, неправительственные организации, ассоциации, инвесторов и бизнеса к действиям. К тому же, в свете пандемии COVID-19 и ухудшением экономическо</w:t>
      </w:r>
      <w:r>
        <w:rPr>
          <w:rStyle w:val="s0"/>
        </w:rPr>
        <w:t>й ситуации в мире, в необходимо приложить больше усилий по достижению гендерного равенства. Исходя из опыта прошлых лет, экономический спад не только непропорционально сильно сказывается на женщинах, но и заставляет темы гендерного равенства выходить из по</w:t>
      </w:r>
      <w:r>
        <w:rPr>
          <w:rStyle w:val="s0"/>
        </w:rPr>
        <w:t>вестки дня правительств и корпораций. Женщины составляют 39% от общей рабочей силы согласно данным Всемирного банка за 2020 год, но по состоянию на май 2020 года, согласно исследованию, Гарвардской бизнес школы на их долю приходилась потеря 54% рабочих мес</w:t>
      </w:r>
      <w:r>
        <w:rPr>
          <w:rStyle w:val="s0"/>
        </w:rPr>
        <w:t>т. Кроме того, женщины больше всего представлены в секторах, наиболее сильно пострадавших от пандемии, таких как гостиничный бизнес или предприятия общественного питания, что еще больше усугубляет ситуацию неравенства.</w:t>
      </w:r>
    </w:p>
    <w:p w:rsidR="00000000" w:rsidRDefault="003324C1">
      <w:pPr>
        <w:ind w:firstLine="397"/>
        <w:jc w:val="both"/>
      </w:pPr>
      <w:r>
        <w:rPr>
          <w:rStyle w:val="s0"/>
        </w:rPr>
        <w:t>Фонд сотрудничает с рядом международн</w:t>
      </w:r>
      <w:r>
        <w:rPr>
          <w:rStyle w:val="s0"/>
        </w:rPr>
        <w:t>ых и зарубежных организаций, опыт которых показывает, что применение гендерно-чувствительных подходов имеет важное значение и вносит вклад в устойчивое развитие экономики страны. Более того, многие финансовые организации уже сегодня заявляют о готовности о</w:t>
      </w:r>
      <w:r>
        <w:rPr>
          <w:rStyle w:val="s0"/>
        </w:rPr>
        <w:t>казать поддержку организациям с утвержденной Гендерной политикой, такие как Зеленый Климатический Фонд и Европейский Инвестиционный Банк и многие другие.</w:t>
      </w:r>
    </w:p>
    <w:p w:rsidR="00000000" w:rsidRDefault="003324C1">
      <w:pPr>
        <w:ind w:firstLine="397"/>
        <w:jc w:val="both"/>
      </w:pPr>
      <w:r>
        <w:rPr>
          <w:rStyle w:val="s0"/>
        </w:rPr>
        <w:t>Согласно данным Комитета по статистике Республики Казахстан, по состоянию на 01.01.2020 года, численно</w:t>
      </w:r>
      <w:r>
        <w:rPr>
          <w:rStyle w:val="s0"/>
        </w:rPr>
        <w:t>сть населения Казахстана составила 18,6 млн человек, численность женского населения составляет 52%.</w:t>
      </w:r>
    </w:p>
    <w:p w:rsidR="00000000" w:rsidRDefault="003324C1">
      <w:pPr>
        <w:ind w:firstLine="397"/>
        <w:jc w:val="both"/>
      </w:pPr>
      <w:r>
        <w:rPr>
          <w:rStyle w:val="s0"/>
        </w:rPr>
        <w:t>По состоянию на 01.01.2020 года, численность занятых на субъектах МСП в стране составляет 3,4 млн тенге, т.е. приблизительно 18% от всего населения. Из этог</w:t>
      </w:r>
      <w:r>
        <w:rPr>
          <w:rStyle w:val="s0"/>
        </w:rPr>
        <w:t>о числа, численность занятых на субъектах МСП, возглавляемых женщинами составляет 31%. С каждым годом данный показатель умеренно растет, с 2016 численность занятых на субъектах женщин-предпринимателей увеличилась на 8%. Вместе с тем, женщины составляют 49%</w:t>
      </w:r>
      <w:r>
        <w:rPr>
          <w:rStyle w:val="s0"/>
        </w:rPr>
        <w:t xml:space="preserve"> занятого населения, а доля вклада женщин в ВВП страны оценивается на уровне 39%.</w:t>
      </w:r>
    </w:p>
    <w:p w:rsidR="00000000" w:rsidRDefault="003324C1">
      <w:pPr>
        <w:ind w:firstLine="397"/>
        <w:jc w:val="both"/>
      </w:pPr>
      <w:r>
        <w:rPr>
          <w:rStyle w:val="s0"/>
        </w:rPr>
        <w:t>Политика разработана в соответствии с требованием Азиатского банка развития, с целью соблюдения условий Проекта финансирования поддержки устойчивого развития микро-, малого и</w:t>
      </w:r>
      <w:r>
        <w:rPr>
          <w:rStyle w:val="s0"/>
        </w:rPr>
        <w:t xml:space="preserve"> среднего бизнеса, в котором принимал участие Фонд для обеспечения дополнительного доступа к финансированию субъектам микро-, малого и среднего предпринимательства (далее - ММСП). 4 транш Проекта АБР был направлен на кредитование регионов Казахстана и женщ</w:t>
      </w:r>
      <w:r>
        <w:rPr>
          <w:rStyle w:val="s0"/>
        </w:rPr>
        <w:t>ин-предпринимателей и показал хорошие результаты: в период с января 2018 года по ноябрь 2020 года, за счет средств АБР профинансировано 40 тысяч проектов на сумму 107 млрд тенге. 55% займов выдано женщинам-предпринимателям. Большинство займов выдано в Турк</w:t>
      </w:r>
      <w:r>
        <w:rPr>
          <w:rStyle w:val="s0"/>
        </w:rPr>
        <w:t>естанской, Жамбылской, Кызылординской областях и городе Нур-Султан. При этом, с 2011 года по 2020 год, за счет средств всего Проекта АБР (транши 1,2,3,4) поддержано 20 тысяч женщин-предпринимателей на сумму более 95 млрд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lastRenderedPageBreak/>
        <w:t>По другим программам поддерж</w:t>
      </w:r>
      <w:r>
        <w:rPr>
          <w:rStyle w:val="s0"/>
        </w:rPr>
        <w:t>ки Фонда, по состоянию на 01.01.2021 г., количество предпринимателей среди женщин Казахстана тоже достаточно значительно. В 2015 году под гарантию Фонда, Европейский Банк Реконструкции и Развития открыл 2 кредитные линии, одна из которых была направлена ис</w:t>
      </w:r>
      <w:r>
        <w:rPr>
          <w:rStyle w:val="s0"/>
        </w:rPr>
        <w:t>ключительно на развитие женщин-предпринимателей. В результате осуществления проекта, через банки второго уровня и микрофинансовые организации поддержано более 13 тысяч проектов на сумму 27,1 млрд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t>По Государственной программе поддержки и развития биз</w:t>
      </w:r>
      <w:r>
        <w:rPr>
          <w:rStyle w:val="s0"/>
        </w:rPr>
        <w:t>неса «Дорожная карта бизнеса-2025» по инструменту субсидирования поддержано 18 тыс. проектов на общую сумму кредитов 3,1 трлн. тенге, из них 34% проектов принадлежат женщинам-предпринимателям. По данной программе гарантии предоставлены 13,3 тыс. проектам н</w:t>
      </w:r>
      <w:r>
        <w:rPr>
          <w:rStyle w:val="s0"/>
        </w:rPr>
        <w:t>а общую сумму кредитов 468 млрд тенге. Из них гарантии предоставлены 34% женщинам-предпринимателям.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По </w:t>
      </w:r>
      <w:hyperlink r:id="rId16" w:history="1">
        <w:r>
          <w:rPr>
            <w:rStyle w:val="a6"/>
          </w:rPr>
          <w:t>Государственной программе жилищного строительства</w:t>
        </w:r>
      </w:hyperlink>
      <w:r>
        <w:rPr>
          <w:rStyle w:val="s0"/>
        </w:rPr>
        <w:t xml:space="preserve"> «Нұрлы жер» по инструменту субсидирова</w:t>
      </w:r>
      <w:r>
        <w:rPr>
          <w:rStyle w:val="s0"/>
        </w:rPr>
        <w:t>ния поддержано 127 проектов на сумму 127 млрд. тенге, 6% из них составили проекты женщин-предпринимателей на сумму 14,6 млрд тенге. По программе ПРООН-ГЭФ и Правительства Казахстана всего поддержано 38 проектов на сумму 2,6 млрд тенге, 10% из них составляю</w:t>
      </w:r>
      <w:r>
        <w:rPr>
          <w:rStyle w:val="s0"/>
        </w:rPr>
        <w:t>т проекты женщин-предпринимателей, сумма поддержки которых равна 132 млн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t>По Механизму кредитования приоритетных проектов («Экономика простых вещей»):</w:t>
      </w:r>
    </w:p>
    <w:p w:rsidR="00000000" w:rsidRDefault="003324C1">
      <w:pPr>
        <w:ind w:firstLine="397"/>
        <w:jc w:val="both"/>
      </w:pPr>
      <w:r>
        <w:rPr>
          <w:rStyle w:val="s0"/>
        </w:rPr>
        <w:t>- по инструменту субсидирования поддержано 557 проектов на сумму 392 млрд тенге, из которых 88 млрд</w:t>
      </w:r>
      <w:r>
        <w:rPr>
          <w:rStyle w:val="s0"/>
        </w:rPr>
        <w:t>. тенге выделено на поддержку 32% проектам женщин-предпринимателей;</w:t>
      </w:r>
    </w:p>
    <w:p w:rsidR="00000000" w:rsidRDefault="003324C1">
      <w:pPr>
        <w:ind w:firstLine="397"/>
        <w:jc w:val="both"/>
      </w:pPr>
      <w:r>
        <w:rPr>
          <w:rStyle w:val="s0"/>
        </w:rPr>
        <w:t>- по инструменту гарантирования поддержано 210 проектов на сумму 53,5 млрд тенге, из них 30% - проекты женщин-предпринимателей, с суммой предоставленных гарантий 6 млрд.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В рамках </w:t>
      </w:r>
      <w:hyperlink r:id="rId17" w:anchor="sub_id=100" w:history="1">
        <w:r>
          <w:rPr>
            <w:rStyle w:val="a6"/>
          </w:rPr>
          <w:t>Государственной программы</w:t>
        </w:r>
      </w:hyperlink>
      <w:r>
        <w:rPr>
          <w:rStyle w:val="s0"/>
        </w:rPr>
        <w:t xml:space="preserve"> развития продуктивной занятости и массового предпринимательства на 2017 - 2021 годы «Еңбек» предоставлены гарантии 1 640 проектам на сумму 19 млрд тенг</w:t>
      </w:r>
      <w:r>
        <w:rPr>
          <w:rStyle w:val="s0"/>
        </w:rPr>
        <w:t>е, из них гарантии предоставлены 46% проектам женщин-предпринимателей на сумму 8,8 млрд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В рамках собственной программы Фонда - </w:t>
      </w:r>
      <w:hyperlink r:id="rId18" w:history="1">
        <w:r>
          <w:rPr>
            <w:rStyle w:val="a6"/>
          </w:rPr>
          <w:t>Программы</w:t>
        </w:r>
      </w:hyperlink>
      <w:r>
        <w:rPr>
          <w:rStyle w:val="s0"/>
        </w:rPr>
        <w:t xml:space="preserve"> гарантирования «Даму-Оптима» предоставлены гара</w:t>
      </w:r>
      <w:r>
        <w:rPr>
          <w:rStyle w:val="s0"/>
        </w:rPr>
        <w:t>нтии 682 проектам на сумму 38 млрд тенге, 20% проектов из них принадлежат женщинам-предпринимателям, гарантии которым предоставлены на сумму 5,5 млрд тенге.</w:t>
      </w:r>
    </w:p>
    <w:p w:rsidR="00000000" w:rsidRDefault="003324C1">
      <w:pPr>
        <w:ind w:firstLine="397"/>
        <w:jc w:val="both"/>
      </w:pPr>
      <w:r>
        <w:rPr>
          <w:rStyle w:val="s0"/>
        </w:rPr>
        <w:t>Учитывая показатели активности среди женщин-предпринимателей, Фонд намерен продолжить финансировать</w:t>
      </w:r>
      <w:r>
        <w:rPr>
          <w:rStyle w:val="s0"/>
        </w:rPr>
        <w:t xml:space="preserve"> ММСП в регионах и продвигать женское предпринимательство в Казахстане. В этих целях Фонд усилит сотрудничество с международными организациями и продолжит продвижение реализации Целей устойчивого развития ООН в Казахстане, тем самым повысит инвестиционную </w:t>
      </w:r>
      <w:r>
        <w:rPr>
          <w:rStyle w:val="s0"/>
        </w:rPr>
        <w:t>привлекательность для привлечения дополнительных источников финансирования программ по развитию ММСП Казахстана.</w:t>
      </w:r>
    </w:p>
    <w:p w:rsidR="00000000" w:rsidRDefault="003324C1">
      <w:pPr>
        <w:ind w:firstLine="397"/>
        <w:jc w:val="both"/>
      </w:pPr>
      <w:r>
        <w:rPr>
          <w:rStyle w:val="s0"/>
        </w:rPr>
        <w:t>В ноябре 2020 года Казахстан избран в исполнительный совет Структуры «ООН-Женщины». Годом ранее штаб-квартира Структуры ООН-Женщины согласовала</w:t>
      </w:r>
      <w:r>
        <w:rPr>
          <w:rStyle w:val="s0"/>
        </w:rPr>
        <w:t xml:space="preserve"> Заявление Фонда о поддержке «Принципов расширения прав и возможностей женщин». Принципы ООН-Женщины подписали более 2 тысяч компаний по всему миру, в том числе Google, Citigroup Inc, Nasdaq, PwC, Ernst&amp;Young и Coca-Cola. В Казахстане Структура «ООН-женщин</w:t>
      </w:r>
      <w:r>
        <w:rPr>
          <w:rStyle w:val="s0"/>
        </w:rPr>
        <w:t>ы» работает в партнерстве с Правительством страны для обеспечения гендерного равноправия. Партнерами являются Национальная комиссия по делам женщин и семейно-демографической политике при Президенте РК, Министерство иностранных дел РК, Министерство национал</w:t>
      </w:r>
      <w:r>
        <w:rPr>
          <w:rStyle w:val="s0"/>
        </w:rPr>
        <w:t>ьной экономики РК, Министерство труда и социальной защиты населения РК, организации гражданского общества, а также компании - подписанты «Принципов расширения прав и возможностей женщин».</w:t>
      </w:r>
    </w:p>
    <w:p w:rsidR="00000000" w:rsidRDefault="003324C1">
      <w:pPr>
        <w:ind w:firstLine="397"/>
        <w:jc w:val="both"/>
      </w:pPr>
      <w:r>
        <w:rPr>
          <w:rStyle w:val="s0"/>
        </w:rPr>
        <w:lastRenderedPageBreak/>
        <w:t>В Фонде отмечается гендерный паритет среди сотрудников. К примеру, в</w:t>
      </w:r>
      <w:r>
        <w:rPr>
          <w:rStyle w:val="s0"/>
        </w:rPr>
        <w:t xml:space="preserve"> 2020 году общая численность работников Фонда составила 380 единиц, среди них фактическая численность женщин составила 47% (45% в 2017 г., 52% в 2018 г., 50% в 2019 г.). В этой связи, Фонд отмечает необходимость и далее сохранять достижение равной гендерно</w:t>
      </w:r>
      <w:r>
        <w:rPr>
          <w:rStyle w:val="s0"/>
        </w:rPr>
        <w:t>й представленности среди работников.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bookmarkStart w:id="6" w:name="SUB300"/>
      <w:bookmarkEnd w:id="6"/>
      <w:r>
        <w:rPr>
          <w:rStyle w:val="s1"/>
        </w:rPr>
        <w:t>Раздел 3. Принципы гендерной политики</w:t>
      </w:r>
    </w:p>
    <w:p w:rsidR="00000000" w:rsidRDefault="003324C1">
      <w:pPr>
        <w:ind w:firstLine="397"/>
        <w:jc w:val="both"/>
      </w:pPr>
      <w:r>
        <w:rPr>
          <w:rStyle w:val="s0"/>
        </w:rPr>
        <w:t>Фонд признает, что гендерное равенство, способствует комплексному экономическому росту и стремится к гендерной справедливости.</w:t>
      </w:r>
    </w:p>
    <w:p w:rsidR="00000000" w:rsidRDefault="003324C1">
      <w:pPr>
        <w:ind w:firstLine="397"/>
        <w:jc w:val="both"/>
      </w:pPr>
      <w:r>
        <w:rPr>
          <w:rStyle w:val="s0"/>
        </w:rPr>
        <w:t>Гендерная политика Фонда соответствует ЦУР, в которы</w:t>
      </w:r>
      <w:r>
        <w:rPr>
          <w:rStyle w:val="s0"/>
        </w:rPr>
        <w:t>х содержится четкое обязательство по обеспечению гендерного равенства и расширению прав и возможностей женщин.</w:t>
      </w:r>
    </w:p>
    <w:p w:rsidR="00000000" w:rsidRDefault="003324C1">
      <w:pPr>
        <w:ind w:firstLine="397"/>
        <w:jc w:val="both"/>
      </w:pPr>
      <w:r>
        <w:rPr>
          <w:rStyle w:val="s0"/>
        </w:rPr>
        <w:t>Фонд обязуется принимать во внимание, анализировать и решать гендерные вопросы при планировании, реализации и оценке внутренних нормативных докум</w:t>
      </w:r>
      <w:r>
        <w:rPr>
          <w:rStyle w:val="s0"/>
        </w:rPr>
        <w:t>ентов, проектов и исследований с целью достижения следующих целей:</w:t>
      </w:r>
    </w:p>
    <w:p w:rsidR="00000000" w:rsidRDefault="003324C1">
      <w:pPr>
        <w:ind w:firstLine="397"/>
        <w:jc w:val="both"/>
      </w:pPr>
      <w:r>
        <w:rPr>
          <w:rStyle w:val="s0"/>
        </w:rPr>
        <w:t>• продвижение равенства между женщинами и мужчинами;</w:t>
      </w:r>
    </w:p>
    <w:p w:rsidR="00000000" w:rsidRDefault="003324C1">
      <w:pPr>
        <w:ind w:firstLine="397"/>
        <w:jc w:val="both"/>
      </w:pPr>
      <w:r>
        <w:rPr>
          <w:rStyle w:val="s0"/>
        </w:rPr>
        <w:t>• сбор качественной информации, с учетом разделения данных по полу;</w:t>
      </w:r>
    </w:p>
    <w:p w:rsidR="00000000" w:rsidRDefault="003324C1">
      <w:pPr>
        <w:ind w:firstLine="397"/>
        <w:jc w:val="both"/>
      </w:pPr>
      <w:r>
        <w:rPr>
          <w:rStyle w:val="s0"/>
        </w:rPr>
        <w:t>• создание социальной, физической и психологической среды, которая способствует равному отношению к мужчинам и женщинам на работе.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bookmarkStart w:id="7" w:name="SUB400"/>
      <w:bookmarkEnd w:id="7"/>
      <w:r>
        <w:rPr>
          <w:rStyle w:val="s1"/>
        </w:rPr>
        <w:t>Раздел 4. Область применения</w:t>
      </w:r>
    </w:p>
    <w:p w:rsidR="00000000" w:rsidRDefault="003324C1">
      <w:pPr>
        <w:ind w:firstLine="397"/>
        <w:jc w:val="both"/>
      </w:pPr>
      <w:r>
        <w:rPr>
          <w:rStyle w:val="s0"/>
        </w:rPr>
        <w:t>Фонд стремится содействовать достижению целей гендерного равенства и расширения прав и возможностей женщин в работе, направленной на устойчивое институциональное развитие Фонда, а также на поддержку и развитие предпринимателей:</w:t>
      </w:r>
    </w:p>
    <w:p w:rsidR="00000000" w:rsidRDefault="003324C1">
      <w:pPr>
        <w:ind w:firstLine="397"/>
        <w:jc w:val="both"/>
      </w:pPr>
      <w:r>
        <w:rPr>
          <w:rStyle w:val="s0"/>
        </w:rPr>
        <w:t>• Кадровая политика: уполном</w:t>
      </w:r>
      <w:r>
        <w:rPr>
          <w:rStyle w:val="s0"/>
        </w:rPr>
        <w:t>оченный орган Фонда, ответственный за развитие персонала, стремится учитывать гендерные аспекты в политиках, правилах и положениях регламентирующие деятельность по управлению человеческими ресурсами;</w:t>
      </w:r>
    </w:p>
    <w:p w:rsidR="00000000" w:rsidRDefault="003324C1">
      <w:pPr>
        <w:ind w:firstLine="397"/>
        <w:jc w:val="both"/>
      </w:pPr>
      <w:r>
        <w:rPr>
          <w:rStyle w:val="s0"/>
        </w:rPr>
        <w:t xml:space="preserve">• Фонд стремится достичь гендерного баланса при подборе </w:t>
      </w:r>
      <w:r>
        <w:rPr>
          <w:rStyle w:val="s0"/>
        </w:rPr>
        <w:t>персонала. Кандидатам-женщинам будет предложено подавать заявки на все вакансии, включая руководящие должности как в филиалах, так и в головном офисе. Фонд стремится к тому, чтобы количество руководителей-женщин было равным количеству мужчин-управленцев;</w:t>
      </w:r>
    </w:p>
    <w:p w:rsidR="00000000" w:rsidRDefault="003324C1">
      <w:pPr>
        <w:ind w:firstLine="397"/>
        <w:jc w:val="both"/>
      </w:pPr>
      <w:r>
        <w:rPr>
          <w:rStyle w:val="s0"/>
        </w:rPr>
        <w:t>•</w:t>
      </w:r>
      <w:r>
        <w:rPr>
          <w:rStyle w:val="s0"/>
        </w:rPr>
        <w:t xml:space="preserve"> В мероприятия, посвященные повышению профессионального уровня сотрудников, включены семинары, обучающие программы и дискуссии для продвижения и создания условий гендерной культуры труда;</w:t>
      </w:r>
    </w:p>
    <w:p w:rsidR="00000000" w:rsidRDefault="003324C1">
      <w:pPr>
        <w:ind w:firstLine="397"/>
        <w:jc w:val="both"/>
      </w:pPr>
      <w:r>
        <w:rPr>
          <w:rStyle w:val="s0"/>
        </w:rPr>
        <w:t>• Все проекты Фонда способствуют равноправному участию всех заинтере</w:t>
      </w:r>
      <w:r>
        <w:rPr>
          <w:rStyle w:val="s0"/>
        </w:rPr>
        <w:t>сованных сторон. Для продвижения и оценки гендерного равенства, в аналитику по каждому проекту добавлена категория по количеству участников программ среди женщин и мужчин. Проекты, направленные на развитие женщин-предпринимателей, определяются как приорите</w:t>
      </w:r>
      <w:r>
        <w:rPr>
          <w:rStyle w:val="s0"/>
        </w:rPr>
        <w:t>тные;</w:t>
      </w:r>
    </w:p>
    <w:p w:rsidR="00000000" w:rsidRDefault="003324C1">
      <w:pPr>
        <w:ind w:firstLine="397"/>
        <w:jc w:val="both"/>
      </w:pPr>
      <w:r>
        <w:rPr>
          <w:rStyle w:val="s0"/>
        </w:rPr>
        <w:t>• По программам льготного кредитования, Фонд стремится проводить работу для достижения охвата женщин-предпринимателей не менее 30% среди конечных заемщиков;</w:t>
      </w:r>
    </w:p>
    <w:p w:rsidR="00000000" w:rsidRDefault="003324C1">
      <w:pPr>
        <w:ind w:firstLine="397"/>
        <w:jc w:val="both"/>
      </w:pPr>
      <w:r>
        <w:rPr>
          <w:rStyle w:val="s0"/>
        </w:rPr>
        <w:t>• При выборе финансовых посредников в процессе реализации проектов, Фонд учитывает наличие ут</w:t>
      </w:r>
      <w:r>
        <w:rPr>
          <w:rStyle w:val="s0"/>
        </w:rPr>
        <w:t>вержденной гендерной политики и ее применение.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bookmarkStart w:id="8" w:name="SUB500"/>
      <w:bookmarkEnd w:id="8"/>
      <w:r>
        <w:rPr>
          <w:rStyle w:val="s1"/>
        </w:rPr>
        <w:t>Раздел 5. Отчетность</w:t>
      </w:r>
    </w:p>
    <w:p w:rsidR="00000000" w:rsidRDefault="003324C1">
      <w:pPr>
        <w:ind w:firstLine="397"/>
        <w:jc w:val="both"/>
      </w:pPr>
      <w:r>
        <w:rPr>
          <w:rStyle w:val="s0"/>
        </w:rPr>
        <w:t>Успешная реализация Политики потребует последовательного и активного участия всего персонала в головном офисе и региональных филиалах и представительствах Фонда. В этих целях Фонд ежегод</w:t>
      </w:r>
      <w:r>
        <w:rPr>
          <w:rStyle w:val="s0"/>
        </w:rPr>
        <w:t>но будет разрабатывать план действий и планомерно исполнять заявленные цели согласно шаблону плана действий по обеспечению гендерного равенства (</w:t>
      </w:r>
      <w:hyperlink w:anchor="sub1" w:history="1">
        <w:r>
          <w:rPr>
            <w:rStyle w:val="a6"/>
          </w:rPr>
          <w:t>Приложение 1</w:t>
        </w:r>
      </w:hyperlink>
      <w:r>
        <w:rPr>
          <w:rStyle w:val="s0"/>
        </w:rPr>
        <w:t>).</w:t>
      </w:r>
    </w:p>
    <w:p w:rsidR="00000000" w:rsidRDefault="003324C1">
      <w:pPr>
        <w:ind w:firstLine="397"/>
        <w:jc w:val="both"/>
      </w:pPr>
      <w:r>
        <w:rPr>
          <w:rStyle w:val="s0"/>
        </w:rPr>
        <w:lastRenderedPageBreak/>
        <w:t>Фонд обязуется составлять и хранить в открытом доступе ежегодные отче</w:t>
      </w:r>
      <w:r>
        <w:rPr>
          <w:rStyle w:val="s0"/>
        </w:rPr>
        <w:t xml:space="preserve">ты о об исполнении плана действий по обеспечению гендерного равенства. Данные отчеты будут опубликованы на официальном сайте Фонда </w:t>
      </w:r>
      <w:hyperlink r:id="rId19" w:history="1">
        <w:r>
          <w:rPr>
            <w:rStyle w:val="a6"/>
          </w:rPr>
          <w:t>www.damu.kz</w:t>
        </w:r>
      </w:hyperlink>
      <w:r>
        <w:rPr>
          <w:rStyle w:val="s0"/>
        </w:rPr>
        <w:t>.</w:t>
      </w:r>
    </w:p>
    <w:p w:rsidR="00000000" w:rsidRDefault="003324C1">
      <w:pPr>
        <w:ind w:firstLine="397"/>
        <w:jc w:val="both"/>
      </w:pPr>
      <w:r>
        <w:rPr>
          <w:rStyle w:val="s0"/>
        </w:rPr>
        <w:t>Фонд намеревается предоставлять информацию о проводимой Фондом работе для обе</w:t>
      </w:r>
      <w:r>
        <w:rPr>
          <w:rStyle w:val="s0"/>
        </w:rPr>
        <w:t>спечения гендерного равенства, местным, международным и зарубежным партнерам.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bookmarkStart w:id="9" w:name="SUB600"/>
      <w:bookmarkEnd w:id="9"/>
      <w:r>
        <w:rPr>
          <w:rStyle w:val="s1"/>
        </w:rPr>
        <w:t>Раздел 6. Привлечение консультантов</w:t>
      </w:r>
    </w:p>
    <w:p w:rsidR="00000000" w:rsidRDefault="003324C1">
      <w:pPr>
        <w:ind w:firstLine="397"/>
        <w:jc w:val="both"/>
      </w:pPr>
      <w:r>
        <w:rPr>
          <w:rStyle w:val="s0"/>
        </w:rPr>
        <w:t>С целью развития практики обеспечения и продвижения гендерного равенства, Фонд может привлекать внешних консультантов для проведения исследо</w:t>
      </w:r>
      <w:r>
        <w:rPr>
          <w:rStyle w:val="s0"/>
        </w:rPr>
        <w:t>ваний, оценки, повышения эффективности материалов и мероприятий, направленных на решение гендерных проблем.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right"/>
      </w:pPr>
      <w:bookmarkStart w:id="10" w:name="SUB1"/>
      <w:bookmarkEnd w:id="10"/>
      <w:r>
        <w:rPr>
          <w:rStyle w:val="s0"/>
        </w:rPr>
        <w:t>Приложение №1</w:t>
      </w:r>
    </w:p>
    <w:p w:rsidR="00000000" w:rsidRDefault="003324C1">
      <w:pPr>
        <w:ind w:firstLine="397"/>
        <w:jc w:val="right"/>
      </w:pPr>
      <w:r>
        <w:rPr>
          <w:rStyle w:val="s0"/>
        </w:rPr>
        <w:t xml:space="preserve">к </w:t>
      </w:r>
      <w:hyperlink w:anchor="sub0" w:history="1">
        <w:r>
          <w:rPr>
            <w:rStyle w:val="a6"/>
          </w:rPr>
          <w:t>Гендерной политике</w:t>
        </w:r>
      </w:hyperlink>
    </w:p>
    <w:p w:rsidR="00000000" w:rsidRDefault="003324C1">
      <w:pPr>
        <w:ind w:firstLine="397"/>
        <w:jc w:val="right"/>
      </w:pPr>
      <w:r>
        <w:rPr>
          <w:rStyle w:val="s0"/>
        </w:rPr>
        <w:t>АО «Фонд развития предпринимательства «Даму»</w:t>
      </w:r>
    </w:p>
    <w:p w:rsidR="00000000" w:rsidRDefault="003324C1">
      <w:pPr>
        <w:ind w:firstLine="397"/>
        <w:jc w:val="right"/>
      </w:pPr>
      <w:r>
        <w:rPr>
          <w:rStyle w:val="s0"/>
        </w:rPr>
        <w:t> </w:t>
      </w:r>
    </w:p>
    <w:p w:rsidR="00000000" w:rsidRDefault="003324C1">
      <w:pPr>
        <w:jc w:val="center"/>
      </w:pPr>
      <w:r>
        <w:rPr>
          <w:rStyle w:val="s1"/>
        </w:rPr>
        <w:t>Шаблон плана действий</w:t>
      </w:r>
      <w:r>
        <w:rPr>
          <w:rStyle w:val="s1"/>
        </w:rPr>
        <w:br/>
        <w:t xml:space="preserve">по обеспечению </w:t>
      </w:r>
      <w:r>
        <w:rPr>
          <w:rStyle w:val="s1"/>
        </w:rPr>
        <w:t>гендерного равенства на ___ г.</w:t>
      </w:r>
    </w:p>
    <w:p w:rsidR="00000000" w:rsidRDefault="003324C1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153"/>
        <w:gridCol w:w="1725"/>
        <w:gridCol w:w="2966"/>
        <w:gridCol w:w="2033"/>
      </w:tblGrid>
      <w:tr w:rsidR="00000000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rPr>
                <w:b/>
                <w:bCs/>
              </w:rPr>
              <w:t>№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b/>
                <w:bCs/>
              </w:rPr>
              <w:t xml:space="preserve">Сроки исполнения </w:t>
            </w:r>
          </w:p>
        </w:tc>
        <w:tc>
          <w:tcPr>
            <w:tcW w:w="1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b/>
                <w:bCs/>
              </w:rPr>
              <w:t>Статус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>1.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 xml:space="preserve">Проведение обучающего мероприятия для руководящего состава по вопросам обеспечения гендерного равенства на рабочих местах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Руководитель/структурное подразделение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 xml:space="preserve">2.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>Введение категории, разделяющую информацию по гендерному признаку в отчетность Фонда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Руководитель/структурное подразделение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 xml:space="preserve">3.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>Предоставление безопасных, гибких условий труда беременным и женщинам с детьм</w:t>
            </w:r>
            <w:r>
              <w:t>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Руководитель/структурное подразделение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-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>4.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r>
              <w:t>Подготовка ежегодного отчета по участию женщин-предпринимателей в программах поддержки МСБ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lang w:val="kk-KZ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t>Руководитель/структурное подразделение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24C1">
            <w:pPr>
              <w:jc w:val="center"/>
            </w:pPr>
            <w:r>
              <w:rPr>
                <w:lang w:val="kk-KZ"/>
              </w:rPr>
              <w:t>-</w:t>
            </w:r>
          </w:p>
        </w:tc>
      </w:tr>
    </w:tbl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lastRenderedPageBreak/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p w:rsidR="00000000" w:rsidRDefault="003324C1">
      <w:pPr>
        <w:ind w:firstLine="397"/>
        <w:jc w:val="both"/>
      </w:pPr>
      <w:r>
        <w:rPr>
          <w:rStyle w:val="s0"/>
        </w:rP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C1" w:rsidRDefault="003324C1" w:rsidP="003324C1">
      <w:r>
        <w:separator/>
      </w:r>
    </w:p>
  </w:endnote>
  <w:endnote w:type="continuationSeparator" w:id="0">
    <w:p w:rsidR="003324C1" w:rsidRDefault="003324C1" w:rsidP="003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C1" w:rsidRDefault="003324C1" w:rsidP="003324C1">
      <w:r>
        <w:separator/>
      </w:r>
    </w:p>
  </w:footnote>
  <w:footnote w:type="continuationSeparator" w:id="0">
    <w:p w:rsidR="003324C1" w:rsidRDefault="003324C1" w:rsidP="0033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 w:rsidP="003324C1">
    <w:pPr>
      <w:pStyle w:val="a4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324C1" w:rsidRDefault="003324C1" w:rsidP="003324C1">
    <w:pPr>
      <w:pStyle w:val="a4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Гендерная политика АО «Фонд развития предпринимательства «Даму» (утверждена решением Правления АО «Фонд развития предпринимательства «Даму», протокол заседания от 12 марта 2021 года № 19/2021)</w:t>
    </w:r>
  </w:p>
  <w:p w:rsidR="003324C1" w:rsidRPr="003324C1" w:rsidRDefault="003324C1" w:rsidP="003324C1">
    <w:pPr>
      <w:pStyle w:val="a4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12.03.2021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1" w:rsidRDefault="003324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24C1"/>
    <w:rsid w:val="003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16BE-B92B-46B4-8AA1-2EF8F88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 w:cs="Times New Roman" w:hint="default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footer"/>
    <w:basedOn w:val="a"/>
    <w:link w:val="a9"/>
    <w:uiPriority w:val="99"/>
    <w:unhideWhenUsed/>
    <w:rsid w:val="003324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4C1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10712" TargetMode="External"/><Relationship Id="rId13" Type="http://schemas.openxmlformats.org/officeDocument/2006/relationships/hyperlink" Target="http://online.zakon.kz/Document/?doc_id=1009741" TargetMode="External"/><Relationship Id="rId18" Type="http://schemas.openxmlformats.org/officeDocument/2006/relationships/hyperlink" Target="http://online.zakon.kz/Document/?doc_id=3788577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8530261" TargetMode="External"/><Relationship Id="rId12" Type="http://schemas.openxmlformats.org/officeDocument/2006/relationships/hyperlink" Target="http://online.zakon.kz/Document/?doc_id=30526983" TargetMode="External"/><Relationship Id="rId17" Type="http://schemas.openxmlformats.org/officeDocument/2006/relationships/hyperlink" Target="http://online.zakon.kz/Document/?doc_id=33631396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38463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39594" TargetMode="External"/><Relationship Id="rId11" Type="http://schemas.openxmlformats.org/officeDocument/2006/relationships/hyperlink" Target="http://online.zakon.kz/Document/?doc_id=1005029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77802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7778759" TargetMode="External"/><Relationship Id="rId19" Type="http://schemas.openxmlformats.org/officeDocument/2006/relationships/hyperlink" Target="http://www.damu.k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10658" TargetMode="External"/><Relationship Id="rId14" Type="http://schemas.openxmlformats.org/officeDocument/2006/relationships/hyperlink" Target="http://online.zakon.kz/Document/?doc_id=37778759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2148</Words>
  <Characters>16162</Characters>
  <Application>Microsoft Office Word</Application>
  <DocSecurity>0</DocSecurity>
  <Lines>134</Lines>
  <Paragraphs>36</Paragraphs>
  <ScaleCrop>false</ScaleCrop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Гендерная политика АО «Фонд развития предпринимательства «Даму» (утверждена решением Правления АО «Фонд развития предпринимательства «Даму», протокол заседания от 12 марта 2021 года № 19/2021)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2022-08-27T19:56:00Z</dcterms:created>
  <dcterms:modified xsi:type="dcterms:W3CDTF">2022-08-27T19:56:00Z</dcterms:modified>
</cp:coreProperties>
</file>